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4"/>
        <w:gridCol w:w="4674"/>
      </w:tblGrid>
      <w:tr w:rsidR="00F8719C" w:rsidRPr="00F8719C" w:rsidTr="00F8719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8719C" w:rsidRPr="00F8719C" w:rsidRDefault="00F8719C" w:rsidP="00F871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719C">
              <w:rPr>
                <w:rFonts w:eastAsia="Times New Roman" w:cs="Times New Roman"/>
                <w:sz w:val="24"/>
                <w:szCs w:val="24"/>
                <w:lang w:eastAsia="ru-RU"/>
              </w:rPr>
              <w:t>14 ноября 2013 года</w:t>
            </w:r>
          </w:p>
        </w:tc>
        <w:tc>
          <w:tcPr>
            <w:tcW w:w="2500" w:type="pct"/>
            <w:vAlign w:val="center"/>
            <w:hideMark/>
          </w:tcPr>
          <w:p w:rsidR="00F8719C" w:rsidRPr="00F8719C" w:rsidRDefault="00F8719C" w:rsidP="00F871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F8719C">
              <w:rPr>
                <w:rFonts w:eastAsia="Times New Roman" w:cs="Times New Roman"/>
                <w:sz w:val="24"/>
                <w:szCs w:val="24"/>
                <w:lang w:eastAsia="ru-RU"/>
              </w:rPr>
              <w:t>N 26-ЗС</w:t>
            </w:r>
          </w:p>
        </w:tc>
      </w:tr>
    </w:tbl>
    <w:p w:rsidR="00F8719C" w:rsidRPr="00F8719C" w:rsidRDefault="00F8719C" w:rsidP="00F8719C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8719C" w:rsidRPr="00F8719C" w:rsidTr="00F871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8719C" w:rsidRPr="00F8719C" w:rsidRDefault="00F8719C" w:rsidP="00F871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19C" w:rsidRPr="00F8719C" w:rsidRDefault="00D61627" w:rsidP="00F871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1627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8719C" w:rsidRPr="00F8719C" w:rsidRDefault="00F8719C" w:rsidP="00F871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ОБЛАСТНОЙ ЗАКОН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РОСТОВСКОЙ ОБЛАСТИ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ОБ ОБРАЗОВАНИИ В РОСТОВСКОЙ ОБЛАСТИ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Принят</w:t>
      </w:r>
      <w:proofErr w:type="gramEnd"/>
    </w:p>
    <w:p w:rsidR="00F8719C" w:rsidRPr="00F8719C" w:rsidRDefault="00F8719C" w:rsidP="00F87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Законодательным Собранием</w:t>
      </w:r>
    </w:p>
    <w:p w:rsidR="00F8719C" w:rsidRPr="00F8719C" w:rsidRDefault="00F8719C" w:rsidP="00F87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29 октября 2013 года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1. Предмет регулирования настоящего Областного закона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Настоящий Областной закон в соответствии с Федеральным законом от 29 декабря 2012 года N 273-ФЗ "Об образовании в Российской Федерации" (далее - Федеральный закон "Об образовании в Российской Федерации") и другими федеральными законами регулирует отдельные отношения в сфере образования на территории Ростовской области, определяет в указанной сфере полномочия органов исполнительной власти Ростовской области, а также наделяет органы местного самоуправления отдельными государственными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полномочиями Ростовской области в сфере образования.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2. Основные понятия, используемые в настоящем Областном законе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В настоящем Областном законе используются основные понятия и термины, предусмотренные Федеральным законом "Об образовании в Российской Федерации".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3. Развитие образования в Ростовской области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Развитие образования является одним из приоритетных направлений развития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Развитие образования в Ростовской области осуществляется по следующим основным направлениям: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сохранение, поддержка и развитие государственных и муниципальных образовательных организаций, совершенствование управления системой образования в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обеспечение высокого профессионального уровня педагогических работников, условий для эффективного выполнения профессиональных задач, повышения социальной значимости, престижа педагогического труда;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4) обеспечение духовно-нравственного и патриотического воспитания подрастающего поколения, формирование духовности,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5) защита и развитие этнокультурных особенностей региона и традиций народов, проживающих на территории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6) создание условий для организации обучения и воспитания обучающихся с ограниченными возможностями здоровья;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7)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государства, а также удовлетворение потребностей личности в углублении и расширении образования;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8) предоставление мер социальной поддержки обучающимся, их родителям (законным представителям), педагогическим и иным работникам государственных и муниципальных образовательных организаций;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9) охрана здоровья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10) выявление и поддержка лиц, проявивших выдающиеся способности, а также оказание содействия в получении такими лицами образования.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3. Развитие образования в Ростовской области осуществляется на основе государственных программ.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Итоговый (годовой) отчет о состоянии и перспективах развития образования в Ростовской области ежегодно, не позднее 1 сентября года, следующего за годом, за который представляется указанный отчет, направляется органом исполнительной власти Ростовской области, осуществляющим государственное управление в сфере образования, в Законодательное Собрание Ростовской области и публикуется на официальном сайте указанного органа в информационно-телекоммуникационной сети "Интернет".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4. Инновационная деятельность в сфере образования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Инновационная деятельность в сфере образования осуществляется в Ростовской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1 настоящей статьи, реализующие инновационные проекты и программы, признаются областными инновационными площадками и составляют инновационную инфраструктуру в системе образования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3. Орган исполнительной власти Ростовской области, осуществляющий государственное управление в сфере образования, определяет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областными инновационными площадками и утверждает перечень областных инновационных площадок.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4. Орган исполнительной власти Ростовской области, осуществляющий государственное управление в сфере образования,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5. Особенности получения образования для лиц, проявивших выдающиеся способности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 xml:space="preserve">В Ростовской области в целях выявления и поддержки лиц, проявивших выдающиеся способности, органами исполнительной власти Ростовской области, осуществляющими функции и полномочия учредителей государственных образовательных организаций Ростовской области, органами местного самоуправления организуются и проводятся олимпиады и иные интеллектуальные и (или) творческие конкурсы, физкультурные и спортивные мероприятия (далее - конкурсы), направленные на выявление и развитие у обучающихся интеллектуальных и творческих способностей,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способностей к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занятиям физической культурой и спортом, интереса к научной (научно-исследовательской), творческой, физкультурно-спортивной деятельности.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Обучающиеся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принимают участие в олимпиадах и конкурсах на добровольной основе. Взимание с обучающихся, их родителей (законных представителей) платы за участие в конкурсах, по итогам которых присуждаются премии для поддержки талантливой молодежи, не допускается.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3. Лицам, проявившим выдающиеся способности, могут предоставляться денежные поощрения, включая премии Губернатора Ростовской области, и иные меры стимулирования указанных лиц.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Критерии и порядок отбора лиц, проявивших выдающиеся способности, и порядок предоставления им денежных поощрений за счет бюджетных ассигнований областного бюджета и иных мер стимулирования указанных лиц определяются Правительством Ростовской области, а порядок предоставления денежных поощрений лицам, проявившим выдающиеся способности, за счет бюджетных ассигнований местного бюджета и иных мер стимулирования указанных лиц - органами местного самоуправления.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Глава 2. ПОЛНОМОЧИЯ ОРГАНОВ ИСПОЛНИТЕЛЬНОЙ ВЛАСТИ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РОСТОВСКОЙ ОБЛАСТИ В СФЕРЕ ОБРАЗОВАНИЯ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6. Полномочия Правительства Ростовской области в сфере образования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К полномочиям Правительства Ростовской области в сфере образования относятся: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утверждение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принятие решений о создании, реорганизации, ликвидации государственных образовательных организаций Ростовской области;</w:t>
      </w:r>
    </w:p>
    <w:p w:rsidR="00F8719C" w:rsidRPr="00F8719C" w:rsidRDefault="00D61627" w:rsidP="00F871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1627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i/>
          <w:color w:val="0066FF"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i/>
          <w:color w:val="0066FF"/>
          <w:sz w:val="24"/>
          <w:szCs w:val="24"/>
          <w:lang w:eastAsia="ru-RU"/>
        </w:rPr>
        <w:t>Пункт 3 части 1 статьи 6 вступает в силу с 1 января 2014 года (пункт 2 статьи 23 данного документа).</w:t>
      </w:r>
    </w:p>
    <w:p w:rsidR="00F8719C" w:rsidRPr="00F8719C" w:rsidRDefault="00D61627" w:rsidP="00F871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1627">
        <w:rPr>
          <w:rFonts w:eastAsia="Times New Roman" w:cs="Times New Roman"/>
          <w:b/>
          <w:i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областным законом;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4) организация предоставления общего образования в государственных образовательных организациях Ростовской области;</w:t>
      </w:r>
    </w:p>
    <w:p w:rsidR="00F8719C" w:rsidRPr="00F8719C" w:rsidRDefault="00D61627" w:rsidP="00F871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1627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i/>
          <w:color w:val="0066FF"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i/>
          <w:color w:val="0066FF"/>
          <w:sz w:val="24"/>
          <w:szCs w:val="24"/>
          <w:lang w:eastAsia="ru-RU"/>
        </w:rPr>
        <w:t>Пункт 5 части 1 статьи 6 вступает в силу с 1 января 2014 года (пункт 2 статьи 23 данного документа).</w:t>
      </w:r>
    </w:p>
    <w:p w:rsidR="00F8719C" w:rsidRPr="00F8719C" w:rsidRDefault="00D61627" w:rsidP="00F8719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61627">
        <w:rPr>
          <w:rFonts w:eastAsia="Times New Roman" w:cs="Times New Roman"/>
          <w:b/>
          <w:i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 xml:space="preserve">5)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содержание зданий и оплату коммунальных услуг), в соответствии с нормативами, определяемыми областным законом;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7) организация предоставления дополнительного образования детей в государственных образовательных организациях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8) организация предоставления дополнительного профессионального образования в государственных образовательных организациях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9) организация предоставления психолого-педагогической, медицинской и социальной помощи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обучающимся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Правительство Ростовской области осуществляет иные полномочия в сфере образования, отнесенные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Правительство Ростовской области издает нормативные правовые акты в сфере образования также в случаях, когда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образования, если иное не установлено Федеральным законом "Об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образовании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в Российской Федерации", настоящим Областным законом, другими областными законами.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7. Полномочия органа исполнительной власти Ростовской области, осуществляющего государственное управление в сфере образования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К полномочиям органа исполнительной власти Ростовской области, осуществляющего государственное управление в сфере образования, относятся: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разработка и реализация государственных программ развития образования с учетом социально-экономических, экологических, демографических, этнокультурных и других особенностей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осуществление мониторинга в системе образования на уровне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3) организация обеспечения подведомственных государственных образовательных организаций Ростовской области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4) формирование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Ростовской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области, педагогических работников муниципальных и частных организаций, осуществляющих образовательную деятельность;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5) обеспечение проведения государственной итоговой аттестации обучающихся по программам основного общего и среднего общего образования, в том числе в форме единого государственного экзамена (включая подготовку лиц, участвующих в проведении единого государственного экзамена, организацию формирования и ведения региональных информационных систем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обеспечение хранения, использования и уничтожения контрольно-измерительных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материалов и экзаменационных работ участников единого государственного экзамена, обработку и проверку экзаменационных работ участников единого государственного экзамена, а также организацию ознакомления участников единого государственного экзамена с его результатами), осуществление аккредитации общественных наблюдателей при проведении государственной итоговой аттестации по программам основного общего и среднего общего образования;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6)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Ростовской области;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7) установление случаев и порядка индивидуального отбора при приеме либо переводе в государственные образовательные организации Ростовской области,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8) установление порядка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9)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10) осуществление иных полномочий в сфере образования, отнесенных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Федерации, осуществляющего государственное управление в сфере образования, а также уполномоченного органа государственной власти субъекта Российской Федерации, если иное не установлено настоящим Областным законом, другими областными законами, нормативными правовыми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актами Губернатора Ростовской области или Правительства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8. Полномочия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 xml:space="preserve">К полномочиям органов исполнительной власти Ростовской области, осуществляющих функции и полномочия учредителей государственных образовательных организаций Ростовской области, в пределах их компетенции относятся организация обеспечения подведомственных государственных образовательных организаций Ростовской области учебниками в соответствии с федеральным перечнем учебников, рекомендованных к использованию при реализации имеющих государственную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пособиями, допущенными к использованию при реализации указанных образовательных программ, создание условий для осуществления присмотра и ухода за детьми, содержания детей в государственных образовательных организациях Ростовской области, а также осуществление других полномочий в сфере образования, отнесенных Федеральным законом "Об образовании в Российской Федерации", другими федеральными законами и иными нормативными правовыми актами Российской Федерации к полномочиям учредителей образовательных организаций, если иное не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Глава 3. ПОДДЕРЖКА </w:t>
      </w:r>
      <w:proofErr w:type="gramStart"/>
      <w:r w:rsidRPr="00F8719C">
        <w:rPr>
          <w:rFonts w:eastAsia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8719C"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ИХ РОДИТЕЛЕЙ (ЗАКОННЫХ ПРЕДСТАВИТЕЛЕЙ),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ТРУДОВЫЕ ПРАВА, СОЦИАЛЬНЫЕ ГАРАНТИИ И СОЦИАЛЬНАЯ ПОДДЕРЖКА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8719C">
        <w:rPr>
          <w:rFonts w:eastAsia="Times New Roman" w:cs="Times New Roman"/>
          <w:b/>
          <w:sz w:val="24"/>
          <w:szCs w:val="24"/>
          <w:lang w:eastAsia="ru-RU"/>
        </w:rPr>
        <w:t>РАБОТНИКОВ ОБРАЗОВАТЕЛЬНЫХ ОРГАНИЗАЦИЙ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9. Случаи и порядок полного государственного обеспечения обучающихся за счет бюджетных ассигнований областного бюджета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Обучающиеся находятся на полном государственном обеспечении за счет бюджетных ассигнований областного бюджета в случае, если они являются: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1) детьми-сиротами, детьми, оставшимися без попечения родителей, лицами из числа детей-сирот и детей, оставшихся без попечения родителей, обучающимися и проживающими в осуществляющих образовательную деятельность государственных организациях Ростовской области для детей-сирот и детей, оставшихся без попечения родителей, в государственных организациях Ростовской области, осуществляющих лечение, оздоровление и (или) отдых, государственных организациях Ростовской области и муниципальных организациях, осуществляющих социальное обслуживание, обучающимися по имеющим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государственную аккредитацию образовательным программам среднего профессионального образования по очной форме обучения за счет бюджетных ассигнований областного бюджета;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2) обучающимися, потерявшими обоих родителей или единственного родителя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бюджетных ассигнований областного бюджета;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3) обучающимися с ограниченными возможностями здоровья или нуждающимися в длительном лечении, проживающими в осуществляющих образовательную деятельность государственных организациях Ростовской области, осуществляющих лечение, оздоровление и (или) отдых, государственных организациях Ростовской области и муниципальных организациях, осуществляющих социальное обслуживание;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 xml:space="preserve">4) обучающимися в созданных органами государственной власти Ростовской области специальных учебно-воспитательных учреждениях открытого и закрытого типов для обучающихся с </w:t>
      </w:r>
      <w:proofErr w:type="spellStart"/>
      <w:r w:rsidRPr="00F8719C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(общественно опасным) поведением, а также обучающимися в других государственных организациях Ростовской области, осуществляющих обучение лиц с </w:t>
      </w:r>
      <w:proofErr w:type="spellStart"/>
      <w:r w:rsidRPr="00F8719C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5) детьми из малоимущих семей, обучающимися и проживающими в государственных общеобразовательных организациях Ростовской области с наличием интерната;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6) обучающимися в государственных общеобразовательных организациях Ростовской области со специальными наименованиями "казачий кадетский корпус".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2. Полное государственное обеспечение за счет бюджетных ассигнований областного бюджета обучающихся, указанных в части 1 настоящей статьи, осуществляется по нормам и в порядке, установленным Правительством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10. Пользование учебниками, учебными пособиями, средствами обучения и воспитания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Обучающимся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, осваивающим основные образовательные программы за счет бюджетных ассигнований областного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государственных образовательных организаций Ростовской области и муниципальных образовательных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 осуществляется за счет бюджетных ассигнований областного бюджета и местных бюджетов.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Статья 11. Дополнительные меры социальной поддержки </w:t>
      </w:r>
      <w:proofErr w:type="gramStart"/>
      <w:r w:rsidRPr="00F8719C">
        <w:rPr>
          <w:rFonts w:eastAsia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Обучающимся общеобразовательных организаций старше 7 лет, а также обучающимся по очной форме обучения в профессиональных образовательных организациях и образовательных организациях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станциях, находящихся на территории Ростовской области.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Право на льготу устанавливается указанным лицам независимо от места их проживания и места нахождения образовательной организации, а также от прохождения маршрута поездки по территориям других субъектов Российской Федерации.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Порядок предоставления льготы, указанной в настоящей части, и порядок ежемесячной компенсации из областного бюджета организациям железнодорожного транспорта потерь в доходах, возникающих в результате установления льготы, определяются Правительством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Обучающиеся по очной форме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подготовки квалифицированных рабочих (служащих) в государственных профессиональных образовательных организациях Ростовской области обеспечиваются бесплатным питанием за счет бюджетных ассигнований областного бюджета.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Обеспечение питанием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, указанных в настоящей части, осуществляется в порядке, установленном органом исполнительной власти Ростовской области, осуществляющим государственное управление в сфере образования.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3. Лицам с ограниченными возможностями здоровья (с различными формами умственной отсталости), не имеющим основного общего или среднего общего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образования, обеспечивается за счет бюджетных ассигнований областного бюджета возможность профессионального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профессиональной подготовки в государственных профессиональных образовательных организациях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12. Меры социальной поддержки родителей (законных представителей) обучающихся на территории Ростовской области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Правительством Ростовской области, но не менее 20 процентов среднего размера платы, взимаемой с родителей (законных представителей) за присмотр и уход за детьми (далее - родительская плата) в государственных и муниципальных образовательных организациях, находящихся на территории Ростовской области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,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Средний размер родительской платы за присмотр и уход за детьми в государственных и муниципальных образовательных организациях, а также порядок обращения за получением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и порядок ее выплаты устанавливаются Правительством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13. Дополнительные меры социальной поддержки и стимулирования педагогических работников государственных образовательных организаций Ростовской области и муниципальных образовательных организаций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Педагогическим работникам государственных образовательных организаций Ростовской области и муниципальных образовательных организаций предоставляются меры социальной поддержки и стимулирования педагогических работников, установленные Федеральным законом "Об образовании в Российской Федерации" и другими нормативными правовыми актами Российской Федерации, а также областными законами и иными нормативными правовыми актами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Органом исполнительной власти Ростовской области, осуществляющим государственное управление в сфере образования, организуется получение педагогическими и руководящими работниками государственных образовательных организаций Ростовской области и муниципальных образовательных организаций дополнительного профессионального образования.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органа исполнительной власти Ростовской области, осуществляющего государственное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 xml:space="preserve"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 за счет бюджетных ассигнований областного бюджета на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основании договоров по обеспечению проведения единого государственного экзамена и актов сдачи-приемки выполненных работ в размере, рассчитанном исходя из норм трудозатрат на выполнение работ по обеспечению проведения единого государственного экзамена и стоимости одного часа указанных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работ.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Государственное учреждение Ростовской области, уполномоченное заключать договоры по обеспечению проведения единого государственного экзамена, принимать акты сдачи-приемки выполненных работ и выплачивать компенсацию за работу по подготовке и проведению единого государственного экзамена, а также нормы трудозатрат на выполнение работ по обеспечению проведения единого государственного экзамена, стоимость одного часа указанных работ определяются органом исполнительной власти Ростовской области, осуществляющим государственное управление в сфере образования.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Глава 4. ОСОБЕННОСТИ ФИНАНСОВОГО ОБЕСПЕЧЕНИЯ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МАЛОКОМПЛЕКТНЫХ ОБЩЕОБРАЗОВАТЕЛЬНЫХ ОРГАНИЗАЦИЙ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И ОБРАЗОВАТЕЛЬНЫХ ОРГАНИЗАЦИЙ,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b/>
          <w:sz w:val="24"/>
          <w:szCs w:val="24"/>
          <w:lang w:eastAsia="ru-RU"/>
        </w:rPr>
        <w:t>РАСПОЛОЖЕННЫХ В СЕЛЬСКИХ НАСЕЛЕННЫХ ПУНКТАХ</w:t>
      </w:r>
      <w:proofErr w:type="gramEnd"/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F8719C">
        <w:rPr>
          <w:rFonts w:eastAsia="Times New Roman" w:cs="Times New Roman"/>
          <w:b/>
          <w:sz w:val="24"/>
          <w:szCs w:val="24"/>
          <w:lang w:eastAsia="ru-RU"/>
        </w:rPr>
        <w:t>РЕАЛИЗУЮЩИХ</w:t>
      </w:r>
      <w:proofErr w:type="gramEnd"/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 ОСНОВНЫЕ ОБЩЕОБРАЗОВАТЕЛЬНЫЕ ПРОГРАММЫ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14. Особенности финансового обеспечения образовательной деятельности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Для малокомплектных общеобразовательных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деятельности, не зависящие от количества обучающихся.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Указанные затраты рассчитываются из количества классов (классов-комплектов).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 малокомплектным образовательным организациям относятся, исходя из удаленности образовательных организаций от иных образовательных организаций, их пешеходной и транспортной доступности для обучающихся и (или) из численности обучающихся, следующие общеобразовательные организации: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1) общеобразовательные организации, реализующие только общеобразовательные программы начального общего образования, имеющие численность 42 и менее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2) общеобразовательные организации, реализующие общеобразовательные программы начального общего и основного общего образования, имеющие численность 100 и менее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3) общеобразовательные организации, реализующие общеобразовательные программы начального общего, основного общего, среднего общего образования, имеющие численность 120 и менее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 общеобразовательным организациям, расположенным в сельских населенных пунктах, нормативные затраты на осуществление образовательной деятельности которых не зависят от количества обучающихся, относятся те из указанных организаций, которые не отвечают установленным пунктами 1-3 части 2 настоящей статьи критериям отнесения их к малокомплектным образовательным организациям, но в которых не менее 50 процентов классов имеют наполняемость 12 и менее обучающихся.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4. Перечень малокомплектных образовательных организаций и общеобразовательных организаций, расположенных в сельских населенных пунктах, нормативные затраты на осуществление образовательной деятельности которых не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зависят от количества обучающихся, утверждается органом исполнительной власти Ростовской области, осуществляющим государственное управление в сфере образования.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Глава 5. НАДЕЛЕНИЕ ОРГАНОВ МЕСТНОГО САМОУПРАВЛЕНИЯ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ОТДЕЛЬНЫМИ ГОСУДАРСТВЕННЫМИ ПОЛНОМОЧИЯМИ</w:t>
      </w: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РОСТОВСКОЙ ОБЛАСТИ В СФЕРЕ ОБРАЗОВАНИЯ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15. Полномочия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Государственные полномочия Ростовской области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(далее - государственные полномочия) передаются на неограниченный срок исполнительно-распорядительным органам муниципальных районов и городских округов в Ростовской области (далее в настоящей главе - органы местного самоуправления).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16. Права и обязанности органов местного самоуправления при осуществлении государственных полномочий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При осуществлении государственных полномочий органы местного самоуправления вправе: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получать в органах государственной власти Ростовской области консультативную и методическую помощь;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При осуществлении государственных полномочий органы местного самоуправления обязаны: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соблюдать Конституцию Российской Федерации, федеральные законы, областные законы и нормативные правовые акты Правительства Ростовской области по вопросам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определять должностных лиц, ответственных за организацию осуществления и за осуществление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4) предоставлять органу государственной власти Ростовской области, уполномоченному в соответствии с частью 2 статьи 19 настоящего Областного закона осуществлять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5) исполнять письменные предписания органа государственной власти Ростовской области, уполномоченного в соответствии с частью 2 статьи 19 настоящего Областного закона осуществлять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6) представлять в орган государственной власти Ростовской области, уполномоченный в соответствии с частью 2 статьи 19 настоящего Областного закона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2 настоящей части, а также по его запросу в соответствии с федеральным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законом - персональные данные лиц, назначенных на соответствующие должности.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17.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1) давать в порядке, установленном статьей 19 настоящего Областного закона, письменные предписания об устранении нарушений требований федеральных и областных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запрашивать информацию, материалы и документы, связанные с осуществлением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оказывать консультативную и методическую помощь.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обеспечивать органы местного самоуправления финансовыми средствами и материальными ресурсами;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4) рассматривать предложения органов местного самоуправления по вопросам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18. Финансовое и материально-техническое обеспечение государственных полномочий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Финансовое обеспечение государственных полномочий, в том числе расходов на оплату услуг кредитных организаций по зачислению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 счета получателей, осуществляется за счет субвенций, предоставляемых местным бюджетам из областного бюджета.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</w:t>
      </w: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законом, регулирующим межбюджетные отношения органов государственной власти Ростовской области и органов местного самоуправления.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от 15 января 2001 года N 125-ЗС "О порядке управления и распоряжения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государственной собственностью Ростовской области".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Статья 19. 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F8719C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 исполнением государственных полномочий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частью 2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  <w:proofErr w:type="gramEnd"/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исполнением государственных полномочий осуществляет министерство общего и профессионального образования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3. Орган государственной власти Ростовской области, уполномоченный в соответствии с частью 2 настоящей статьи осуществлять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исполнением государственных полномочий, вправе: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рассматривать в порядке, установленном Правительством Ростовской области, сведения и материалы, предусмотренные пунктом 6 части 2 статьи 16 настоящего Областного закона, и при необходимости давать по ним заключения;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4) заслушивать отчеты о ходе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5) назначать уполномоченных должностных лиц для наблюдения за осуществлением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8) давать письменные предписания об устранении нарушений требований федеральных и областных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государственных полномочий.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При обнаружении фактов неисполнения или ненадлежащего исполнения должностными лицами, определенными в соответствии с пунктом 2 части 2 статьи 16 настоящего Областного закона, возложенных на них обязанностей руководитель органа государственной власти Ростовской области, уполномоченного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должностных лиц.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20. Условия и порядок прекращения осуществления органами местного самоуправления государственных полномочий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путем принятия областного закона с одновременным изъятием предоставленных субвенций и материальных ресурсов в случаях: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а) существенного изменения условий, влияющих на осуществление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б) нецелевого использования органами местного самоуправления бюджетных средств;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в) нарушения органами местного самоуправления Конституции Российской Федерации, федеральных и областных законов и иных нормативных правовых актов, установленного судом;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г) выявления фактов ненадлежащего исполнения органами местного самоуправления государственных полномочий;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Глава 6. ЗАКЛЮЧИТЕЛЬНЫЕ И ПЕРЕХОДНЫЕ ПОЛОЖЕНИЯ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21. Переходные положения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До 1 января 2014 года Правительство Ростовской области осуществляет следующие полномочия в сфере образования: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областным законом;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финансового обеспечения образовательной деятельности государственных образовательных организаций Ростовской области и муниципальных образовательных организаций.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Установить, что при приведении нормативных правовых актов Правительства Ростовской области, органов исполнительной власти Ростовской области, органов местного самоуправления в соответствие с Федеральным законом "Об образовании в Российской Федерации" и настоящим Областным законом уровень социальной поддержки отдельных категорий обучающихся (воспитанников) и нормативы государственных гарантий реализации прав граждан на получение общедоступного и бесплатного образования, установленные на день вступления настоящего Областного закона в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силу, не могут быть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снижены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>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Статья 22. Признание </w:t>
      </w:r>
      <w:proofErr w:type="gramStart"/>
      <w:r w:rsidRPr="00F8719C">
        <w:rPr>
          <w:rFonts w:eastAsia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F8719C">
        <w:rPr>
          <w:rFonts w:eastAsia="Times New Roman" w:cs="Times New Roman"/>
          <w:b/>
          <w:sz w:val="24"/>
          <w:szCs w:val="24"/>
          <w:lang w:eastAsia="ru-RU"/>
        </w:rPr>
        <w:t xml:space="preserve"> силу отдельных областных законов и их положений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Признать утратившими силу: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1) Областной закон от 22 октября 2004 года N 161-ЗС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2) Областной закон от 22 октября 2004 года N 184-ЗС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3) Областной закон от 22 октября 2005 года N 377-ЗС "О внесении изменений в статью 6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4) Областной закон от 21 декабря 2005 года N 416-ЗС "О внесении изменений в Областной закон "Об установлении размера минимальной академической стипендии учащимся и студентам государственных учреждений начального и среднего профессионального образования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5) Областной закон от 28 декабря 2005 года N 444-ЗС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6) Областной закон от 19 мая 2006 года N 490-ЗС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7) Областной закон от 25 июля 2006 года N 521-ЗС "О внесении изменения в статью 20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8) Областной закон от 27 февраля 2007 года N 631-ЗС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9) Областной закон от 3 августа 2007 года N 757-ЗС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10) Областной закон от 20 сентября 2007 года N 764-ЗС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11) статью 8 Областного закона от 20 ноября 2007 года N 813-ЗС "О внесении изменений в некоторые акты областного законодательства в части приведения в соответствие с бюджетным законодательством Российской Федерации";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12) Областной закон от 7 декабря 2007 года N 819-ЗС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13) Областной закон от 13 мая 2008 года N 23-ЗС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14) Областной закон от 6 августа 2008 года N 56-ЗС "О внесении изменения в статью 20.4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15) статью 8 Областного закона от 12 августа 2008 года N 63-ЗС "О внесении изменений в некоторые областные законы в связи с усилением государственного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переданных государственных полномочий";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16) Областной закон от 12 сентября 2008 года N 81-ЗС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17) Областной закон от 26 ноября 2008 года N 141-ЗС "О внесении изменения в статью 5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18) Областной закон от 29 декабря 2008 года N 188-ЗС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19) Областной закон от 12 мая 2009 года N 231-ЗС "О внесении изменения в статью 13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20) Областной закон от 29 июля 2009 года N 272-ЗС "О внесении изменений в статьи 5 и 14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21) Областной закон от 29 сентября 2009 года N 298-ЗС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22) статью 4 Областного закона от 2 марта 2010 года N 377-ЗС "О внесении изменений в отдельные областные законы и признании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силу отдельных положений некоторых областных законов";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23) Областной закон от 10 июня 2010 года N 424-ЗС "О внесении изменения в статью 20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24) Областной закон от 20 сентября 2010 года N 467-ЗС "О внесении изменений в статью 20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25) Областной закон от 10 декабря 2010 года N 530-ЗС "О внесении изменений в статью 1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 и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26) Областной закон от 3 марта 2011 года N 565-ЗС "О внесении изменения в статью 11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27) Областной закон от 10 мая 2011 года N 595-ЗС "О внесении изменений в статьи 11 и 20 Областного закона "Об образовании в Ростовской области" и признании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силу отдельных положений некоторых областных законов";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28) Областной закон от 12 июля 2011 года N 631-ЗС "О внесении изменения в статью 5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29) Областной закон от 7 сентября 2011 года N 665-ЗС "О внесении изменения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30) Областной закон от 14 сентября 2011 года N 690-ЗС "О внесении изменений в статью 11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31) Областной закон от 8 ноября 2011 года N 725-ЗС "О внесении изменения в статью 5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lastRenderedPageBreak/>
        <w:t>32) Областной закон от 24 ноября 2011 года N 740-ЗС "О внесении изменений в статьи 5 и 20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33) Областной закон от 29 февраля 2012 года N 819-ЗС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34) Областной закон от 10 мая 2012 года N 852-ЗС "О внесении изменений в Областной закон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35) Областной закон от 22 июня 2012 года N 877-ЗС "О внесении изменений в статьи 10 и 13 Областного закона "Об образовании в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 xml:space="preserve">36) статьи 1 и 3 Областного закона от 2 июля 2012 года N 900-ЗС "О внесении изменений в отдельные областные законы и признании 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F8719C">
        <w:rPr>
          <w:rFonts w:eastAsia="Times New Roman" w:cs="Times New Roman"/>
          <w:sz w:val="24"/>
          <w:szCs w:val="24"/>
          <w:lang w:eastAsia="ru-RU"/>
        </w:rPr>
        <w:t xml:space="preserve"> силу отдельных положений некоторых областных законов";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37) Областной закон от 12 сентября 2012 года N 931-ЗС "О внесении изменений в статьи 3 и 5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области";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38) Областной закон от 30 июля 2013 года N 1160-ЗС "О внесении изменений в статью 3 Областного закона "Об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области".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8719C">
        <w:rPr>
          <w:rFonts w:eastAsia="Times New Roman" w:cs="Times New Roman"/>
          <w:b/>
          <w:sz w:val="24"/>
          <w:szCs w:val="24"/>
          <w:lang w:eastAsia="ru-RU"/>
        </w:rPr>
        <w:t>Статья 23. Вступление настоящего Областного закона в силу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1. Настоящий Областной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2. Пункты 3 и 5 части 1 статьи 6 настоящего Областного закона вступают в силу с 1 января 2014 года.</w:t>
      </w:r>
    </w:p>
    <w:p w:rsidR="00F8719C" w:rsidRPr="00F8719C" w:rsidRDefault="00F8719C" w:rsidP="00F871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Губернатор</w:t>
      </w:r>
    </w:p>
    <w:p w:rsidR="00F8719C" w:rsidRPr="00F8719C" w:rsidRDefault="00F8719C" w:rsidP="00F87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Ростовской области</w:t>
      </w:r>
    </w:p>
    <w:p w:rsidR="00F8719C" w:rsidRPr="00F8719C" w:rsidRDefault="00F8719C" w:rsidP="00F8719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В.Ю.</w:t>
      </w:r>
      <w:proofErr w:type="gramStart"/>
      <w:r w:rsidRPr="00F8719C">
        <w:rPr>
          <w:rFonts w:eastAsia="Times New Roman" w:cs="Times New Roman"/>
          <w:sz w:val="24"/>
          <w:szCs w:val="24"/>
          <w:lang w:eastAsia="ru-RU"/>
        </w:rPr>
        <w:t>ГОЛУБЕВ</w:t>
      </w:r>
      <w:proofErr w:type="gramEnd"/>
    </w:p>
    <w:p w:rsidR="00F8719C" w:rsidRPr="00F8719C" w:rsidRDefault="00F8719C" w:rsidP="00F8719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г. Ростов-на-Дону</w:t>
      </w:r>
    </w:p>
    <w:p w:rsidR="00F8719C" w:rsidRPr="00F8719C" w:rsidRDefault="00F8719C" w:rsidP="00F8719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14 ноября 2013 года</w:t>
      </w:r>
    </w:p>
    <w:p w:rsidR="00F8719C" w:rsidRPr="00F8719C" w:rsidRDefault="00F8719C" w:rsidP="00F8719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8719C">
        <w:rPr>
          <w:rFonts w:eastAsia="Times New Roman" w:cs="Times New Roman"/>
          <w:sz w:val="24"/>
          <w:szCs w:val="24"/>
          <w:lang w:eastAsia="ru-RU"/>
        </w:rPr>
        <w:t>N 26-ЗС</w:t>
      </w: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8719C" w:rsidRPr="00F8719C" w:rsidRDefault="00F8719C" w:rsidP="00F8719C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2DCF" w:rsidRDefault="00492DCF" w:rsidP="00F8719C">
      <w:pPr>
        <w:jc w:val="both"/>
      </w:pPr>
    </w:p>
    <w:sectPr w:rsidR="00492DCF" w:rsidSect="0049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9C"/>
    <w:rsid w:val="0011659D"/>
    <w:rsid w:val="003853CA"/>
    <w:rsid w:val="00492DCF"/>
    <w:rsid w:val="00BF7C81"/>
    <w:rsid w:val="00D61627"/>
    <w:rsid w:val="00F8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8719C"/>
  </w:style>
  <w:style w:type="character" w:customStyle="1" w:styleId="u">
    <w:name w:val="u"/>
    <w:basedOn w:val="a0"/>
    <w:rsid w:val="00F87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7427</Words>
  <Characters>42335</Characters>
  <Application>Microsoft Office Word</Application>
  <DocSecurity>0</DocSecurity>
  <Lines>352</Lines>
  <Paragraphs>99</Paragraphs>
  <ScaleCrop>false</ScaleCrop>
  <Company/>
  <LinksUpToDate>false</LinksUpToDate>
  <CharactersWithSpaces>49663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hobbit</cp:lastModifiedBy>
  <cp:revision>2</cp:revision>
  <dcterms:created xsi:type="dcterms:W3CDTF">2014-02-01T17:30:00Z</dcterms:created>
  <dcterms:modified xsi:type="dcterms:W3CDTF">2014-02-01T17:30:00Z</dcterms:modified>
</cp:coreProperties>
</file>